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C8A9B">
      <w:pPr>
        <w:spacing w:line="600" w:lineRule="exact"/>
        <w:jc w:val="center"/>
        <w:rPr>
          <w:rFonts w:hint="default" w:ascii="方正小标宋_GBK" w:hAnsi="方正小标宋_GBK" w:eastAsia="方正小标宋_GBK"/>
          <w:color w:val="FF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/>
          <w:sz w:val="44"/>
          <w:szCs w:val="44"/>
        </w:rPr>
        <w:t>聊城大</w:t>
      </w:r>
      <w:r>
        <w:rPr>
          <w:rFonts w:hint="eastAsia" w:ascii="方正小标宋_GBK" w:hAnsi="方正小标宋_GBK" w:eastAsia="方正小标宋_GBK"/>
          <w:color w:val="auto"/>
          <w:sz w:val="44"/>
          <w:szCs w:val="44"/>
        </w:rPr>
        <w:t>学</w:t>
      </w:r>
      <w:r>
        <w:rPr>
          <w:rFonts w:hint="eastAsia" w:ascii="方正小标宋_GBK" w:hAnsi="方正小标宋_GBK" w:eastAsia="方正小标宋_GBK"/>
          <w:color w:val="auto"/>
          <w:sz w:val="44"/>
          <w:szCs w:val="44"/>
          <w:lang w:val="en-US" w:eastAsia="zh-CN"/>
        </w:rPr>
        <w:t>农业与生物学院</w:t>
      </w:r>
    </w:p>
    <w:p w14:paraId="236ED616">
      <w:pPr>
        <w:spacing w:line="600" w:lineRule="exact"/>
        <w:jc w:val="center"/>
        <w:rPr>
          <w:rFonts w:ascii="方正小标宋_GBK" w:hAnsi="方正小标宋_GBK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202</w:t>
      </w:r>
      <w:r>
        <w:rPr>
          <w:rFonts w:ascii="Times New Roman" w:hAnsi="Times New Roman" w:eastAsia="方正小标宋_GBK"/>
          <w:sz w:val="44"/>
          <w:szCs w:val="44"/>
        </w:rPr>
        <w:t>6</w:t>
      </w:r>
      <w:r>
        <w:rPr>
          <w:rFonts w:hint="eastAsia" w:ascii="方正小标宋_GBK" w:hAnsi="方正小标宋_GBK" w:eastAsia="方正小标宋_GBK"/>
          <w:sz w:val="44"/>
          <w:szCs w:val="44"/>
        </w:rPr>
        <w:t>年硕士研究生调剂复试录取公告</w:t>
      </w:r>
    </w:p>
    <w:p w14:paraId="7BF08C54">
      <w:pPr>
        <w:spacing w:line="600" w:lineRule="exact"/>
        <w:jc w:val="center"/>
        <w:rPr>
          <w:rFonts w:ascii="方正小标宋_GBK" w:hAnsi="方正小标宋_GBK" w:eastAsia="方正小标宋_GBK"/>
          <w:sz w:val="44"/>
          <w:szCs w:val="44"/>
        </w:rPr>
      </w:pPr>
    </w:p>
    <w:p w14:paraId="15E1F25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根据《教育部关于印发</w:t>
      </w:r>
      <w:r>
        <w:rPr>
          <w:rFonts w:ascii="仿宋_GB2312" w:eastAsia="仿宋_GB2312"/>
          <w:sz w:val="32"/>
          <w:szCs w:val="32"/>
        </w:rPr>
        <w:t>&lt;</w:t>
      </w:r>
      <w:r>
        <w:rPr>
          <w:rFonts w:ascii="Times New Roman" w:hAnsi="Times New Roman" w:eastAsia="仿宋_GB2312"/>
          <w:sz w:val="32"/>
          <w:szCs w:val="32"/>
        </w:rPr>
        <w:t>2026</w:t>
      </w:r>
      <w:r>
        <w:rPr>
          <w:rFonts w:ascii="仿宋_GB2312" w:eastAsia="仿宋_GB2312"/>
          <w:sz w:val="32"/>
          <w:szCs w:val="32"/>
        </w:rPr>
        <w:t>年全国硕士研究生招生工作管理规定&gt;的通知》（教学〔</w:t>
      </w:r>
      <w:r>
        <w:rPr>
          <w:rFonts w:ascii="Times New Roman" w:hAnsi="Times New Roman" w:eastAsia="仿宋_GB2312"/>
          <w:sz w:val="32"/>
          <w:szCs w:val="32"/>
        </w:rPr>
        <w:t>2025</w:t>
      </w:r>
      <w:r>
        <w:rPr>
          <w:rFonts w:ascii="仿宋_GB2312" w:eastAsia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号）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《山东省教育招生考试院关于做好山东省</w:t>
      </w:r>
      <w:r>
        <w:rPr>
          <w:rFonts w:ascii="Times New Roman" w:hAnsi="Times New Roman" w:eastAsia="仿宋_GB2312"/>
          <w:sz w:val="32"/>
          <w:szCs w:val="32"/>
        </w:rPr>
        <w:t>2026</w:t>
      </w:r>
      <w:r>
        <w:rPr>
          <w:rFonts w:ascii="仿宋_GB2312" w:eastAsia="仿宋_GB2312"/>
          <w:sz w:val="32"/>
          <w:szCs w:val="32"/>
        </w:rPr>
        <w:t>年硕士研究生招生复试录取工作的通知》（鲁招考〔</w:t>
      </w:r>
      <w:r>
        <w:rPr>
          <w:rFonts w:ascii="Times New Roman" w:hAnsi="Times New Roman" w:eastAsia="仿宋_GB2312"/>
          <w:sz w:val="32"/>
          <w:szCs w:val="32"/>
        </w:rPr>
        <w:t>2026</w:t>
      </w:r>
      <w:r>
        <w:rPr>
          <w:rFonts w:ascii="仿宋_GB2312" w:eastAsia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26</w:t>
      </w:r>
      <w:r>
        <w:rPr>
          <w:rFonts w:ascii="仿宋_GB2312" w:eastAsia="仿宋_GB2312"/>
          <w:sz w:val="32"/>
          <w:szCs w:val="32"/>
        </w:rPr>
        <w:t>号）</w:t>
      </w:r>
      <w:r>
        <w:rPr>
          <w:rFonts w:hint="eastAsia" w:ascii="仿宋_GB2312" w:eastAsia="仿宋_GB2312"/>
          <w:sz w:val="32"/>
          <w:szCs w:val="32"/>
        </w:rPr>
        <w:t>等要求，</w:t>
      </w:r>
      <w:r>
        <w:rPr>
          <w:rFonts w:ascii="仿宋_GB2312" w:eastAsia="仿宋_GB2312"/>
          <w:sz w:val="32"/>
          <w:szCs w:val="32"/>
        </w:rPr>
        <w:t>以及《聊城大学</w:t>
      </w:r>
      <w:r>
        <w:rPr>
          <w:rFonts w:ascii="Times New Roman" w:hAnsi="Times New Roman" w:eastAsia="仿宋_GB2312"/>
          <w:sz w:val="32"/>
          <w:szCs w:val="32"/>
        </w:rPr>
        <w:t>2026</w:t>
      </w:r>
      <w:r>
        <w:rPr>
          <w:rFonts w:ascii="仿宋_GB2312" w:eastAsia="仿宋_GB2312"/>
          <w:sz w:val="32"/>
          <w:szCs w:val="32"/>
        </w:rPr>
        <w:t>年硕士研究生复试录取工作方案》</w:t>
      </w:r>
      <w:r>
        <w:rPr>
          <w:rFonts w:hint="eastAsia" w:ascii="仿宋_GB2312" w:eastAsia="仿宋_GB2312"/>
          <w:sz w:val="32"/>
          <w:szCs w:val="32"/>
        </w:rPr>
        <w:t>安排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结合本单位实际，就调剂复试录取有关事项公告如下。</w:t>
      </w:r>
    </w:p>
    <w:p w14:paraId="37821FCD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一、接收调剂考生的专业</w:t>
      </w:r>
    </w:p>
    <w:p w14:paraId="5B9F8330"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生物学（0710），接收一志愿报考生物学（0710）、生态学（0713）、基础医学（限077802、077803、077804）、海洋科学（限070703）、生物与医药（0860）的考生。</w:t>
      </w:r>
    </w:p>
    <w:p w14:paraId="45D35EFE"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作物学（0901），接收一志愿报考专业为作物学（0901）、园艺学（0902）、农业资源与环境（0903）、植物保护学（0904）、林学（0907）、草学（0909）、农艺与种业（095131）、资源利用与植物保护（095132）、林业（0954）的考生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7A35792D"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畜牧学（0905），接收一志愿报考畜牧学（0905）、兽医学（0906）、畜牧（095133）、兽医（0952）、野生动植物保护与利用（090705）、水产（0908）、草学（0909）、渔业发展（095134）、食品加工与安全（095135）的考生。</w:t>
      </w:r>
    </w:p>
    <w:p w14:paraId="596C3EE1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二、复试分数线及比例</w:t>
      </w:r>
    </w:p>
    <w:p w14:paraId="28B523F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复试分数线。参加普通计划复试的考生，初试总成绩和单科成绩均须达到A类地区考生分数要求。对“退役大学生士兵计划”考生，在报考专业A类地区考生分数线基础上，对初试总成绩和单科成绩均降</w:t>
      </w:r>
      <w:r>
        <w:rPr>
          <w:rFonts w:hint="eastAsia" w:ascii="Times New Roman" w:hAnsi="Times New Roman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分划定分数线。</w:t>
      </w:r>
    </w:p>
    <w:p w14:paraId="4830A51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复试比例。进入复试的考生人数为各学科</w:t>
      </w:r>
      <w:r>
        <w:rPr>
          <w:rFonts w:hint="eastAsia" w:ascii="仿宋_GB2312" w:eastAsia="仿宋_GB2312"/>
          <w:color w:val="auto"/>
          <w:sz w:val="32"/>
          <w:szCs w:val="32"/>
        </w:rPr>
        <w:t>专业（方向）招生计划的</w:t>
      </w:r>
      <w:r>
        <w:rPr>
          <w:rFonts w:ascii="Times New Roman" w:hAnsi="Times New Roman" w:eastAsia="仿宋_GB2312"/>
          <w:color w:val="auto"/>
          <w:sz w:val="32"/>
          <w:szCs w:val="32"/>
        </w:rPr>
        <w:t>200</w:t>
      </w:r>
      <w:r>
        <w:rPr>
          <w:rFonts w:hint="eastAsia" w:ascii="仿宋_GB2312" w:eastAsia="仿宋_GB2312"/>
          <w:color w:val="auto"/>
          <w:sz w:val="32"/>
          <w:szCs w:val="32"/>
        </w:rPr>
        <w:t>%；合格生源比例不足的，按实际合格</w:t>
      </w:r>
      <w:r>
        <w:rPr>
          <w:rFonts w:hint="eastAsia" w:ascii="仿宋_GB2312" w:eastAsia="仿宋_GB2312"/>
          <w:sz w:val="32"/>
          <w:szCs w:val="32"/>
        </w:rPr>
        <w:t>生源数组织复试。</w:t>
      </w:r>
    </w:p>
    <w:p w14:paraId="0627FC59">
      <w:pPr>
        <w:spacing w:line="560" w:lineRule="exact"/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三、调剂考生遴选规则</w:t>
      </w:r>
    </w:p>
    <w:p w14:paraId="4CB1C05F">
      <w:pPr>
        <w:spacing w:line="560" w:lineRule="exact"/>
        <w:ind w:firstLine="640" w:firstLineChars="200"/>
        <w:rPr>
          <w:rFonts w:ascii="仿宋_GB2312" w:hAnsi="黑体" w:eastAsia="仿宋_GB2312"/>
          <w:color w:val="FF0000"/>
          <w:sz w:val="32"/>
          <w:szCs w:val="32"/>
        </w:rPr>
      </w:pPr>
      <w:bookmarkStart w:id="0" w:name="OLE_LINK33"/>
      <w:bookmarkStart w:id="1" w:name="_Hlk224995921"/>
      <w:r>
        <w:rPr>
          <w:rFonts w:hint="eastAsia" w:ascii="仿宋_GB2312" w:hAnsi="黑体" w:eastAsia="仿宋_GB2312"/>
          <w:sz w:val="32"/>
          <w:szCs w:val="32"/>
        </w:rPr>
        <w:t>调剂考生须符合《聊城大学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026</w:t>
      </w:r>
      <w:r>
        <w:rPr>
          <w:rFonts w:hint="eastAsia" w:ascii="仿宋_GB2312" w:hAnsi="黑体" w:eastAsia="仿宋_GB2312"/>
          <w:sz w:val="32"/>
          <w:szCs w:val="32"/>
        </w:rPr>
        <w:t>年硕士研究生复试录取工作方案》规定的调剂基本要求</w:t>
      </w:r>
      <w:bookmarkEnd w:id="0"/>
      <w:r>
        <w:rPr>
          <w:rFonts w:hint="eastAsia" w:ascii="仿宋_GB2312" w:hAnsi="黑体" w:eastAsia="仿宋_GB2312"/>
          <w:sz w:val="32"/>
          <w:szCs w:val="32"/>
        </w:rPr>
        <w:t>，并符合调剂专业的具体要求。</w:t>
      </w:r>
    </w:p>
    <w:bookmarkEnd w:id="1"/>
    <w:p w14:paraId="7C07C5B7"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1.生物学（0710），接收一志愿报考生物学（0710）、生态学（0713）、基础医学（限077802、077803、077804）、海洋科学（限070703）、生物与医药（0860）的考生。</w:t>
      </w:r>
    </w:p>
    <w:p w14:paraId="2229AC39"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优先从一志愿报考专业为生物学（0710）、生态学（0713）中，按照初试总成绩由高到低确定进入复试的考生名单；若上述专业考生数量不足，再依次从一志愿报考专业为基础医学（限077802、077803、077804）、海洋科学（限070703）、生物与医药（0860）的考生中遴选。</w:t>
      </w:r>
    </w:p>
    <w:p w14:paraId="0EA8BBEE"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作物学（0901），接收一志愿报考专业为作物学（0901）、园艺学（0902）、农业资源与环境（0903）、植物保护学（0904）、林学（0907）、草学（0909）、农艺与种业（095131）、资源利用与植物保护（095132）、林业（0954）的考生，进入复试的考生名单按照初试总成绩由高到低确定。</w:t>
      </w:r>
    </w:p>
    <w:p w14:paraId="1F3ACD36"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3.畜牧学（0905），接收一志愿报考畜牧学（0905）、兽医学（0906）、畜牧（095133）、兽医（0952）、野生动植物保护与利用（090705）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水产（0908）、草学（0909）、渔业发展（095134）、食品加工与安全（095135）的考生。</w:t>
      </w:r>
    </w:p>
    <w:p w14:paraId="5042395B"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优先从一志愿报考专业为畜牧学（0905）、兽医学（0906）、畜牧（095133）中，按照初试总成绩由高到低确定进入复试的考生名单；若上述专业考生数量不足，再依次从一志愿报考专业为兽医（0952）、野生动植物保护与利用（090705）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水产（0908）、草学（0909）、渔业发展（095134）、食品加工与安全（095135）的考生中遴选。</w:t>
      </w:r>
    </w:p>
    <w:p w14:paraId="50CD57A8">
      <w:pPr>
        <w:spacing w:line="560" w:lineRule="exact"/>
        <w:ind w:firstLine="640" w:firstLineChars="200"/>
        <w:rPr>
          <w:rFonts w:ascii="楷体_GB2312" w:hAnsi="黑体" w:eastAsia="楷体_GB2312"/>
          <w:color w:val="FF000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四、调剂复试方式及有关安排</w:t>
      </w:r>
    </w:p>
    <w:p w14:paraId="255E28D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.即日起，</w:t>
      </w:r>
      <w:r>
        <w:rPr>
          <w:rFonts w:ascii="仿宋_GB2312" w:eastAsia="仿宋_GB2312"/>
          <w:sz w:val="32"/>
          <w:szCs w:val="32"/>
        </w:rPr>
        <w:t>有调剂意愿的考生可</w:t>
      </w:r>
      <w:r>
        <w:rPr>
          <w:rFonts w:hint="eastAsia" w:ascii="仿宋_GB2312" w:eastAsia="仿宋_GB2312"/>
          <w:sz w:val="32"/>
          <w:szCs w:val="32"/>
        </w:rPr>
        <w:t>通过教育部“研招网调剂系统”</w:t>
      </w:r>
      <w:r>
        <w:rPr>
          <w:rFonts w:ascii="仿宋_GB2312" w:eastAsia="仿宋_GB2312"/>
          <w:sz w:val="32"/>
          <w:szCs w:val="32"/>
        </w:rPr>
        <w:t>查询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填报意向信息。</w:t>
      </w:r>
      <w:r>
        <w:rPr>
          <w:rFonts w:hint="eastAsia" w:ascii="仿宋_GB2312" w:eastAsia="仿宋_GB2312"/>
          <w:sz w:val="32"/>
          <w:szCs w:val="32"/>
        </w:rPr>
        <w:t>第一次开放调剂系统的时间为</w:t>
      </w: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</w:rPr>
        <w:t>0</w:t>
      </w:r>
      <w:r>
        <w:rPr>
          <w:rFonts w:ascii="Times New Roman" w:hAnsi="Times New Roman" w:eastAsia="仿宋_GB2312"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:</w:t>
      </w:r>
      <w:r>
        <w:rPr>
          <w:rFonts w:ascii="Times New Roman" w:hAnsi="Times New Roman" w:eastAsia="仿宋_GB2312"/>
          <w:sz w:val="32"/>
          <w:szCs w:val="32"/>
        </w:rPr>
        <w:t>00</w:t>
      </w:r>
      <w:r>
        <w:rPr>
          <w:rFonts w:hint="eastAsia" w:ascii="仿宋_GB2312" w:eastAsia="仿宋_GB2312"/>
          <w:sz w:val="32"/>
          <w:szCs w:val="32"/>
        </w:rPr>
        <w:t>至</w:t>
      </w:r>
      <w:r>
        <w:rPr>
          <w:rFonts w:ascii="Times New Roman" w:hAnsi="Times New Roman" w:eastAsia="仿宋_GB2312"/>
          <w:sz w:val="32"/>
          <w:szCs w:val="32"/>
        </w:rPr>
        <w:t>12</w:t>
      </w:r>
      <w:r>
        <w:rPr>
          <w:rFonts w:ascii="仿宋_GB2312" w:eastAsia="仿宋_GB2312"/>
          <w:sz w:val="32"/>
          <w:szCs w:val="32"/>
        </w:rPr>
        <w:t>:</w:t>
      </w:r>
      <w:r>
        <w:rPr>
          <w:rFonts w:ascii="Times New Roman" w:hAnsi="Times New Roman" w:eastAsia="仿宋_GB2312"/>
          <w:sz w:val="32"/>
          <w:szCs w:val="32"/>
        </w:rPr>
        <w:t>00</w:t>
      </w:r>
      <w:bookmarkStart w:id="2" w:name="OLE_LINK60"/>
      <w:r>
        <w:rPr>
          <w:rFonts w:hint="eastAsia" w:ascii="仿宋_GB2312" w:eastAsia="仿宋_GB2312"/>
          <w:sz w:val="32"/>
          <w:szCs w:val="32"/>
        </w:rPr>
        <w:t>，在此期间考生可正式填报第一次调剂志愿</w:t>
      </w:r>
      <w:bookmarkEnd w:id="2"/>
      <w:r>
        <w:rPr>
          <w:rFonts w:ascii="仿宋_GB2312" w:eastAsia="仿宋_GB2312"/>
          <w:sz w:val="32"/>
          <w:szCs w:val="32"/>
        </w:rPr>
        <w:t>。</w:t>
      </w:r>
    </w:p>
    <w:p w14:paraId="45DA52F0"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仿宋_GB2312" w:hAnsi="黑体" w:eastAsia="仿宋_GB2312"/>
          <w:sz w:val="32"/>
          <w:szCs w:val="32"/>
        </w:rPr>
        <w:t>.</w:t>
      </w:r>
      <w:r>
        <w:rPr>
          <w:rFonts w:hint="eastAsia" w:ascii="仿宋_GB2312" w:hAnsi="黑体" w:eastAsia="仿宋_GB2312"/>
          <w:sz w:val="32"/>
          <w:szCs w:val="32"/>
        </w:rPr>
        <w:t>调剂志愿复试采用网上远程复试方式，</w:t>
      </w:r>
      <w:r>
        <w:rPr>
          <w:rFonts w:hint="eastAsia" w:ascii="Times New Roman" w:hAnsi="Times New Roman" w:eastAsia="仿宋_GB2312"/>
          <w:sz w:val="32"/>
          <w:szCs w:val="32"/>
        </w:rPr>
        <w:t>于</w:t>
      </w:r>
      <w:r>
        <w:rPr>
          <w:rFonts w:ascii="Times New Roman" w:hAnsi="Times New Roman" w:eastAsia="仿宋_GB2312"/>
          <w:sz w:val="32"/>
          <w:szCs w:val="32"/>
        </w:rPr>
        <w:t>4月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</w:rPr>
        <w:t>日至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仿宋_GB2312" w:hAnsi="黑体" w:eastAsia="仿宋_GB2312"/>
          <w:sz w:val="32"/>
          <w:szCs w:val="32"/>
        </w:rPr>
        <w:t>通过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腾讯会议</w:t>
      </w:r>
      <w:r>
        <w:rPr>
          <w:rFonts w:hint="eastAsia" w:ascii="仿宋_GB2312" w:hAnsi="黑体" w:eastAsia="仿宋_GB2312"/>
          <w:sz w:val="32"/>
          <w:szCs w:val="32"/>
        </w:rPr>
        <w:t>进行，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雨课堂</w:t>
      </w:r>
      <w:r>
        <w:rPr>
          <w:rFonts w:hint="eastAsia" w:ascii="仿宋_GB2312" w:hAnsi="黑体" w:eastAsia="仿宋_GB2312"/>
          <w:sz w:val="32"/>
          <w:szCs w:val="32"/>
        </w:rPr>
        <w:t>为备用平台。具体复试时间以“研招网调剂系统”或电话通知为准。</w:t>
      </w:r>
    </w:p>
    <w:p w14:paraId="54C0C8E7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请考生提前准备2部手机（或1台电脑和1部手机）、手机支架等设备，按要求安装相关软件（含备用软件），按“双机位”摆放要求布置。复试场景要相对封闭、光线充足、安静整洁、无其他人员在场。准备好身份证、准考证、答题纸、中性笔等相关材料和工具，按照通知的具体时间登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腾讯会议</w:t>
      </w:r>
      <w:r>
        <w:rPr>
          <w:rFonts w:hint="eastAsia" w:ascii="Times New Roman" w:hAnsi="Times New Roman" w:eastAsia="仿宋_GB2312"/>
          <w:sz w:val="32"/>
          <w:szCs w:val="32"/>
        </w:rPr>
        <w:t>签到并进行系统联调，按要求参加复试。</w:t>
      </w:r>
    </w:p>
    <w:p w14:paraId="15B0315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复试正式开始前，首先进行复试资格审核。请考生按照</w:t>
      </w:r>
      <w:r>
        <w:rPr>
          <w:rFonts w:hint="eastAsia" w:ascii="仿宋_GB2312" w:eastAsia="仿宋_GB2312"/>
          <w:sz w:val="32"/>
          <w:szCs w:val="32"/>
        </w:rPr>
        <w:t>《聊城大学</w:t>
      </w:r>
      <w:r>
        <w:rPr>
          <w:rFonts w:ascii="Times New Roman" w:hAnsi="Times New Roman" w:eastAsia="仿宋_GB2312"/>
          <w:sz w:val="32"/>
          <w:szCs w:val="32"/>
        </w:rPr>
        <w:t>2026</w:t>
      </w:r>
      <w:r>
        <w:rPr>
          <w:rFonts w:ascii="仿宋_GB2312" w:eastAsia="仿宋_GB2312"/>
          <w:sz w:val="32"/>
          <w:szCs w:val="32"/>
        </w:rPr>
        <w:t>年硕士研究生复试录取工作方案》要求</w:t>
      </w:r>
      <w:r>
        <w:rPr>
          <w:rFonts w:hint="eastAsia" w:ascii="仿宋_GB2312" w:eastAsia="仿宋_GB2312"/>
          <w:sz w:val="32"/>
          <w:szCs w:val="32"/>
        </w:rPr>
        <w:t>，通过聊城大学研究生招生管理系统（</w:t>
      </w:r>
      <w:r>
        <w:rPr>
          <w:rFonts w:ascii="仿宋_GB2312" w:eastAsia="仿宋_GB2312"/>
          <w:sz w:val="32"/>
          <w:szCs w:val="32"/>
        </w:rPr>
        <w:t>https://yzgl.lcu.edu.cn）提交相关材料扫描件，</w:t>
      </w:r>
      <w:r>
        <w:rPr>
          <w:rFonts w:hint="eastAsia" w:ascii="仿宋_GB2312" w:eastAsia="仿宋_GB2312"/>
          <w:sz w:val="32"/>
          <w:szCs w:val="32"/>
        </w:rPr>
        <w:t>并准备好纸质材料进行线上</w:t>
      </w:r>
      <w:r>
        <w:rPr>
          <w:rFonts w:ascii="仿宋_GB2312" w:eastAsia="仿宋_GB2312"/>
          <w:sz w:val="32"/>
          <w:szCs w:val="32"/>
        </w:rPr>
        <w:t>复试资格审核。资格审核不合格者，不得参加复试。</w:t>
      </w:r>
    </w:p>
    <w:p w14:paraId="534C297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.复试内容、复试要求以及需提交的材料等，与该专业的一志愿考生相同。</w:t>
      </w:r>
      <w:r>
        <w:rPr>
          <w:rFonts w:hint="eastAsia" w:ascii="仿宋_GB2312" w:eastAsia="仿宋_GB2312"/>
          <w:sz w:val="32"/>
          <w:szCs w:val="32"/>
        </w:rPr>
        <w:t>复试各单项的具体形式、测试时长等，按照《聊城大学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农业与生物学院</w:t>
      </w:r>
      <w:r>
        <w:rPr>
          <w:rFonts w:ascii="Times New Roman" w:hAnsi="Times New Roman" w:eastAsia="仿宋_GB2312"/>
          <w:sz w:val="32"/>
          <w:szCs w:val="32"/>
        </w:rPr>
        <w:t>2026</w:t>
      </w:r>
      <w:r>
        <w:rPr>
          <w:rFonts w:hint="eastAsia" w:ascii="仿宋_GB2312" w:eastAsia="仿宋_GB2312"/>
          <w:sz w:val="32"/>
          <w:szCs w:val="32"/>
        </w:rPr>
        <w:t>年硕士研究生复试录取实施方案》有关安排执行。</w:t>
      </w:r>
    </w:p>
    <w:p w14:paraId="6430265D"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复试咨询服务电话：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邢老师0635-8239301/13290106143</w:t>
      </w:r>
      <w:bookmarkStart w:id="3" w:name="_GoBack"/>
      <w:bookmarkEnd w:id="3"/>
    </w:p>
    <w:p w14:paraId="53098EB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其他未尽事宜，按照上级有关规定及</w:t>
      </w:r>
      <w:r>
        <w:rPr>
          <w:rFonts w:ascii="仿宋_GB2312" w:eastAsia="仿宋_GB2312"/>
          <w:sz w:val="32"/>
          <w:szCs w:val="32"/>
        </w:rPr>
        <w:t>《聊城大学</w:t>
      </w:r>
      <w:r>
        <w:rPr>
          <w:rFonts w:ascii="Times New Roman" w:hAnsi="Times New Roman" w:eastAsia="仿宋_GB2312"/>
          <w:sz w:val="32"/>
          <w:szCs w:val="32"/>
        </w:rPr>
        <w:t>2026</w:t>
      </w:r>
      <w:r>
        <w:rPr>
          <w:rFonts w:ascii="仿宋_GB2312" w:eastAsia="仿宋_GB2312"/>
          <w:sz w:val="32"/>
          <w:szCs w:val="32"/>
        </w:rPr>
        <w:t>年硕士研究生复试录取工作方案》</w:t>
      </w:r>
      <w:r>
        <w:rPr>
          <w:rFonts w:hint="eastAsia" w:ascii="仿宋_GB2312" w:eastAsia="仿宋_GB2312"/>
          <w:sz w:val="32"/>
          <w:szCs w:val="32"/>
        </w:rPr>
        <w:t>《聊城大学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农业与生物学院</w:t>
      </w:r>
      <w:r>
        <w:rPr>
          <w:rFonts w:ascii="Times New Roman" w:hAnsi="Times New Roman" w:eastAsia="仿宋_GB2312"/>
          <w:sz w:val="32"/>
          <w:szCs w:val="32"/>
        </w:rPr>
        <w:t>2026</w:t>
      </w:r>
      <w:r>
        <w:rPr>
          <w:rFonts w:hint="eastAsia" w:ascii="仿宋_GB2312" w:eastAsia="仿宋_GB2312"/>
          <w:sz w:val="32"/>
          <w:szCs w:val="32"/>
        </w:rPr>
        <w:t>年硕士研究生复试录取实施方案》执行。</w:t>
      </w:r>
    </w:p>
    <w:p w14:paraId="30B3D06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链接：</w:t>
      </w:r>
      <w:r>
        <w:rPr>
          <w:rFonts w:ascii="仿宋_GB2312" w:eastAsia="仿宋_GB2312"/>
          <w:sz w:val="32"/>
          <w:szCs w:val="32"/>
        </w:rPr>
        <w:t>聊城大学</w:t>
      </w:r>
      <w:r>
        <w:rPr>
          <w:rFonts w:ascii="Times New Roman" w:hAnsi="Times New Roman" w:eastAsia="仿宋_GB2312"/>
          <w:sz w:val="32"/>
          <w:szCs w:val="32"/>
        </w:rPr>
        <w:t>2026</w:t>
      </w:r>
      <w:r>
        <w:rPr>
          <w:rFonts w:ascii="仿宋_GB2312" w:eastAsia="仿宋_GB2312"/>
          <w:sz w:val="32"/>
          <w:szCs w:val="32"/>
        </w:rPr>
        <w:t>年硕士研究生复试录取工作方案</w:t>
      </w:r>
    </w:p>
    <w:p w14:paraId="5663F3F1">
      <w:pPr>
        <w:spacing w:line="560" w:lineRule="exac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聊城大学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农业与生物学院</w:t>
      </w:r>
      <w:r>
        <w:rPr>
          <w:rFonts w:ascii="Times New Roman" w:hAnsi="Times New Roman" w:eastAsia="仿宋_GB2312"/>
          <w:sz w:val="32"/>
          <w:szCs w:val="32"/>
        </w:rPr>
        <w:t>2026</w:t>
      </w:r>
      <w:r>
        <w:rPr>
          <w:rFonts w:hint="eastAsia" w:ascii="仿宋_GB2312" w:eastAsia="仿宋_GB2312"/>
          <w:sz w:val="32"/>
          <w:szCs w:val="32"/>
        </w:rPr>
        <w:t>年硕士研究生复试录取实施方案</w:t>
      </w:r>
    </w:p>
    <w:p w14:paraId="17DDCFC2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6EA0B9D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2B376AD">
      <w:pPr>
        <w:spacing w:line="560" w:lineRule="exact"/>
        <w:jc w:val="center"/>
        <w:rPr>
          <w:rFonts w:ascii="楷体_GB2312" w:eastAsia="楷体_GB2312"/>
          <w:color w:val="FF0000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1353534578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0DBBCBA2">
        <w:pPr>
          <w:pStyle w:val="4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Times New Roman" w:hAnsi="Times New Roman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C043F">
    <w:pPr>
      <w:pStyle w:val="4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03"/>
    <w:rsid w:val="00016960"/>
    <w:rsid w:val="000666FC"/>
    <w:rsid w:val="00076F35"/>
    <w:rsid w:val="00080F06"/>
    <w:rsid w:val="00091AEB"/>
    <w:rsid w:val="000C4062"/>
    <w:rsid w:val="000D01FD"/>
    <w:rsid w:val="000F0931"/>
    <w:rsid w:val="00125ED8"/>
    <w:rsid w:val="00150B8A"/>
    <w:rsid w:val="00166B89"/>
    <w:rsid w:val="00190C01"/>
    <w:rsid w:val="0019621F"/>
    <w:rsid w:val="001969AC"/>
    <w:rsid w:val="001D1516"/>
    <w:rsid w:val="001F54DF"/>
    <w:rsid w:val="00207ADD"/>
    <w:rsid w:val="0023006D"/>
    <w:rsid w:val="00243A52"/>
    <w:rsid w:val="00244F90"/>
    <w:rsid w:val="002510E2"/>
    <w:rsid w:val="002731CF"/>
    <w:rsid w:val="002C784D"/>
    <w:rsid w:val="003024A3"/>
    <w:rsid w:val="00335552"/>
    <w:rsid w:val="00342883"/>
    <w:rsid w:val="00374212"/>
    <w:rsid w:val="0039364A"/>
    <w:rsid w:val="003D1292"/>
    <w:rsid w:val="004123F2"/>
    <w:rsid w:val="00425AFF"/>
    <w:rsid w:val="00427888"/>
    <w:rsid w:val="0043100D"/>
    <w:rsid w:val="00440333"/>
    <w:rsid w:val="004451A9"/>
    <w:rsid w:val="0044635D"/>
    <w:rsid w:val="004760BD"/>
    <w:rsid w:val="00493A86"/>
    <w:rsid w:val="004D7888"/>
    <w:rsid w:val="004E2186"/>
    <w:rsid w:val="004E7939"/>
    <w:rsid w:val="0050353F"/>
    <w:rsid w:val="00512DA2"/>
    <w:rsid w:val="0051677B"/>
    <w:rsid w:val="00522C0D"/>
    <w:rsid w:val="0052606F"/>
    <w:rsid w:val="00532F25"/>
    <w:rsid w:val="005512AF"/>
    <w:rsid w:val="005836B4"/>
    <w:rsid w:val="005B65E5"/>
    <w:rsid w:val="005E75F0"/>
    <w:rsid w:val="005E7B53"/>
    <w:rsid w:val="005F0359"/>
    <w:rsid w:val="005F14D0"/>
    <w:rsid w:val="00606CB0"/>
    <w:rsid w:val="0063301F"/>
    <w:rsid w:val="0063445C"/>
    <w:rsid w:val="00691289"/>
    <w:rsid w:val="006938FF"/>
    <w:rsid w:val="00697B31"/>
    <w:rsid w:val="006B48EE"/>
    <w:rsid w:val="006C68D7"/>
    <w:rsid w:val="006E0003"/>
    <w:rsid w:val="006F7759"/>
    <w:rsid w:val="007039F4"/>
    <w:rsid w:val="0070617C"/>
    <w:rsid w:val="00734CA3"/>
    <w:rsid w:val="0074135B"/>
    <w:rsid w:val="007E6346"/>
    <w:rsid w:val="007F1755"/>
    <w:rsid w:val="00803D60"/>
    <w:rsid w:val="008077D5"/>
    <w:rsid w:val="00813470"/>
    <w:rsid w:val="00817D78"/>
    <w:rsid w:val="00845842"/>
    <w:rsid w:val="00852E63"/>
    <w:rsid w:val="008B69FD"/>
    <w:rsid w:val="008C0B90"/>
    <w:rsid w:val="008D12C0"/>
    <w:rsid w:val="008D3649"/>
    <w:rsid w:val="008E229C"/>
    <w:rsid w:val="008F11A8"/>
    <w:rsid w:val="00902CC4"/>
    <w:rsid w:val="009048D3"/>
    <w:rsid w:val="00912AB0"/>
    <w:rsid w:val="0091620C"/>
    <w:rsid w:val="009372B5"/>
    <w:rsid w:val="00965AD1"/>
    <w:rsid w:val="00971490"/>
    <w:rsid w:val="00984399"/>
    <w:rsid w:val="009908AA"/>
    <w:rsid w:val="009C3947"/>
    <w:rsid w:val="009C649D"/>
    <w:rsid w:val="009C7927"/>
    <w:rsid w:val="009F3C83"/>
    <w:rsid w:val="009F7ABE"/>
    <w:rsid w:val="00A1337E"/>
    <w:rsid w:val="00A24B76"/>
    <w:rsid w:val="00A3127B"/>
    <w:rsid w:val="00A562F9"/>
    <w:rsid w:val="00A85DCE"/>
    <w:rsid w:val="00A97509"/>
    <w:rsid w:val="00AB4379"/>
    <w:rsid w:val="00AB4770"/>
    <w:rsid w:val="00B07347"/>
    <w:rsid w:val="00B472C3"/>
    <w:rsid w:val="00B55DCA"/>
    <w:rsid w:val="00BA79BC"/>
    <w:rsid w:val="00BC4100"/>
    <w:rsid w:val="00C003CB"/>
    <w:rsid w:val="00C055DE"/>
    <w:rsid w:val="00C16764"/>
    <w:rsid w:val="00C45EE6"/>
    <w:rsid w:val="00C46BF2"/>
    <w:rsid w:val="00C70761"/>
    <w:rsid w:val="00C71C95"/>
    <w:rsid w:val="00C866C3"/>
    <w:rsid w:val="00CA527F"/>
    <w:rsid w:val="00CF239F"/>
    <w:rsid w:val="00D22ACC"/>
    <w:rsid w:val="00D43EB3"/>
    <w:rsid w:val="00D475E3"/>
    <w:rsid w:val="00D500AB"/>
    <w:rsid w:val="00D85785"/>
    <w:rsid w:val="00DF47C1"/>
    <w:rsid w:val="00E4356E"/>
    <w:rsid w:val="00E60E75"/>
    <w:rsid w:val="00E62EED"/>
    <w:rsid w:val="00E63C28"/>
    <w:rsid w:val="00E67587"/>
    <w:rsid w:val="00EC14FF"/>
    <w:rsid w:val="00EE5A69"/>
    <w:rsid w:val="00F02F6B"/>
    <w:rsid w:val="00F34B66"/>
    <w:rsid w:val="00F56984"/>
    <w:rsid w:val="00F6661C"/>
    <w:rsid w:val="00F66DC4"/>
    <w:rsid w:val="00F71D6E"/>
    <w:rsid w:val="00F80B27"/>
    <w:rsid w:val="00F9235B"/>
    <w:rsid w:val="00FE3537"/>
    <w:rsid w:val="02080F1A"/>
    <w:rsid w:val="06721621"/>
    <w:rsid w:val="09246016"/>
    <w:rsid w:val="0BA40923"/>
    <w:rsid w:val="11F82278"/>
    <w:rsid w:val="14CD6729"/>
    <w:rsid w:val="24D51722"/>
    <w:rsid w:val="2E9160FE"/>
    <w:rsid w:val="2FC86927"/>
    <w:rsid w:val="44C15D36"/>
    <w:rsid w:val="609A233E"/>
    <w:rsid w:val="66695AA5"/>
    <w:rsid w:val="792567B9"/>
    <w:rsid w:val="7F9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9">
    <w:name w:val="Table Grid"/>
    <w:basedOn w:val="8"/>
    <w:uiPriority w:val="39"/>
    <w:rPr>
      <w:kern w:val="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5">
    <w:name w:val="批注文字 字符"/>
    <w:basedOn w:val="10"/>
    <w:link w:val="2"/>
    <w:semiHidden/>
    <w:qFormat/>
    <w:uiPriority w:val="99"/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</w:rPr>
  </w:style>
  <w:style w:type="character" w:customStyle="1" w:styleId="17">
    <w:name w:val="批注框文本 字符"/>
    <w:basedOn w:val="10"/>
    <w:link w:val="3"/>
    <w:semiHidden/>
    <w:qFormat/>
    <w:uiPriority w:val="99"/>
    <w:rPr>
      <w:kern w:val="2"/>
      <w:sz w:val="18"/>
      <w:szCs w:val="18"/>
    </w:rPr>
  </w:style>
  <w:style w:type="paragraph" w:styleId="1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4</Pages>
  <Words>1800</Words>
  <Characters>2169</Characters>
  <Lines>12</Lines>
  <Paragraphs>3</Paragraphs>
  <TotalTime>1</TotalTime>
  <ScaleCrop>false</ScaleCrop>
  <LinksUpToDate>false</LinksUpToDate>
  <CharactersWithSpaces>2169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2025-03-15T08:11:00Z</dcterms:created>
  <dc:creator>Administrator</dc:creator>
  <cp:lastModifiedBy>xxxuan</cp:lastModifiedBy>
  <cp:lastPrinted>2026-03-30T08:25:00Z</cp:lastPrinted>
  <dcterms:modified xsi:type="dcterms:W3CDTF">2026-03-31T09:01:31Z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eyJoZGlkIjoiN2VhZWVlYWVjYTk3OGJmNzM1ZjAzNDZlNTcyM2JlNmEiLCJ1c2VySWQiOiIzODQ1Nzk5NDkifQ==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A35D79D4F1524F03A5A4FC7F52983C5C_13</vt:lpwstr>
  </property>
</Properties>
</file>